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34BE3" w:rsidRPr="00FB0B9B" w:rsidRDefault="00F34BE3" w:rsidP="00594EA7">
      <w:pPr>
        <w:spacing w:after="0" w:line="360" w:lineRule="auto"/>
        <w:jc w:val="center"/>
        <w:rPr>
          <w:rFonts w:ascii="Arial" w:eastAsia="Times New Roman" w:hAnsi="Arial" w:cs="Arial"/>
          <w:b/>
          <w:color w:val="000000"/>
          <w:sz w:val="36"/>
          <w:szCs w:val="36"/>
        </w:rPr>
      </w:pPr>
      <w:r w:rsidRPr="00FB0B9B">
        <w:rPr>
          <w:rFonts w:ascii="Arial" w:eastAsia="Times New Roman" w:hAnsi="Arial" w:cs="Arial"/>
          <w:b/>
          <w:color w:val="000000"/>
          <w:sz w:val="36"/>
          <w:szCs w:val="36"/>
        </w:rPr>
        <w:t>WILLIAM T. GOTFRYD</w:t>
      </w:r>
    </w:p>
    <w:p w:rsidR="00CF0D4D" w:rsidRPr="00C74582" w:rsidRDefault="00CF0D4D" w:rsidP="0077433E">
      <w:pPr>
        <w:spacing w:after="0" w:line="360" w:lineRule="auto"/>
        <w:rPr>
          <w:rFonts w:ascii="Arial" w:eastAsia="Times New Roman" w:hAnsi="Arial" w:cs="Arial"/>
          <w:b/>
          <w:color w:val="000000"/>
          <w:sz w:val="20"/>
          <w:szCs w:val="20"/>
        </w:rPr>
      </w:pPr>
      <w:bookmarkStart w:id="0" w:name="_GoBack"/>
      <w:bookmarkEnd w:id="0"/>
    </w:p>
    <w:p w:rsidR="00F34BE3" w:rsidRPr="00FB0B9B" w:rsidRDefault="0016294D" w:rsidP="00594EA7">
      <w:pPr>
        <w:spacing w:after="0" w:line="360" w:lineRule="auto"/>
        <w:rPr>
          <w:rStyle w:val="Strong"/>
        </w:rPr>
      </w:pPr>
      <w:r w:rsidRPr="00FB0B9B">
        <w:rPr>
          <w:rStyle w:val="Strong"/>
        </w:rPr>
        <w:t>Education</w:t>
      </w:r>
    </w:p>
    <w:p w:rsidR="00FB0B9B" w:rsidRDefault="00F34BE3" w:rsidP="00FB0B9B">
      <w:pPr>
        <w:pStyle w:val="ListParagraph"/>
        <w:numPr>
          <w:ilvl w:val="0"/>
          <w:numId w:val="5"/>
        </w:numPr>
        <w:spacing w:after="0" w:line="360" w:lineRule="auto"/>
        <w:ind w:left="432" w:hanging="432"/>
        <w:rPr>
          <w:rFonts w:ascii="Arial" w:eastAsia="Times New Roman" w:hAnsi="Arial" w:cs="Arial"/>
          <w:color w:val="000000"/>
          <w:sz w:val="20"/>
          <w:szCs w:val="20"/>
        </w:rPr>
      </w:pPr>
      <w:r w:rsidRPr="00FB0B9B">
        <w:rPr>
          <w:rFonts w:ascii="Arial" w:eastAsia="Times New Roman" w:hAnsi="Arial" w:cs="Arial"/>
          <w:color w:val="000000"/>
          <w:sz w:val="20"/>
          <w:szCs w:val="20"/>
        </w:rPr>
        <w:t>Bachelor of Science</w:t>
      </w:r>
      <w:r w:rsidR="00FB0B9B">
        <w:rPr>
          <w:rFonts w:ascii="Arial" w:eastAsia="Times New Roman" w:hAnsi="Arial" w:cs="Arial"/>
          <w:color w:val="000000"/>
          <w:sz w:val="20"/>
          <w:szCs w:val="20"/>
        </w:rPr>
        <w:t>,</w:t>
      </w:r>
      <w:r w:rsidRPr="00FB0B9B">
        <w:rPr>
          <w:rFonts w:ascii="Arial" w:eastAsia="Times New Roman" w:hAnsi="Arial" w:cs="Arial"/>
          <w:color w:val="000000"/>
          <w:sz w:val="20"/>
          <w:szCs w:val="20"/>
        </w:rPr>
        <w:t xml:space="preserve"> Loyola University Chicago (honors program</w:t>
      </w:r>
      <w:r w:rsidR="00FB0B9B">
        <w:rPr>
          <w:rFonts w:ascii="Arial" w:eastAsia="Times New Roman" w:hAnsi="Arial" w:cs="Arial"/>
          <w:color w:val="000000"/>
          <w:sz w:val="20"/>
          <w:szCs w:val="20"/>
        </w:rPr>
        <w:t>,</w:t>
      </w:r>
      <w:r w:rsidRPr="00FB0B9B">
        <w:rPr>
          <w:rFonts w:ascii="Arial" w:eastAsia="Times New Roman" w:hAnsi="Arial" w:cs="Arial"/>
          <w:color w:val="000000"/>
          <w:sz w:val="20"/>
          <w:szCs w:val="20"/>
        </w:rPr>
        <w:t xml:space="preserve"> double major </w:t>
      </w:r>
      <w:r w:rsidR="00737827" w:rsidRPr="00FB0B9B">
        <w:rPr>
          <w:rFonts w:ascii="Arial" w:eastAsia="Times New Roman" w:hAnsi="Arial" w:cs="Arial"/>
          <w:color w:val="000000"/>
          <w:sz w:val="20"/>
          <w:szCs w:val="20"/>
        </w:rPr>
        <w:t>in</w:t>
      </w:r>
      <w:r w:rsidRPr="00FB0B9B">
        <w:rPr>
          <w:rFonts w:ascii="Arial" w:eastAsia="Times New Roman" w:hAnsi="Arial" w:cs="Arial"/>
          <w:color w:val="000000"/>
          <w:sz w:val="20"/>
          <w:szCs w:val="20"/>
        </w:rPr>
        <w:t xml:space="preserve"> anthropology and psychology</w:t>
      </w:r>
      <w:r w:rsidR="00FB0B9B">
        <w:rPr>
          <w:rFonts w:ascii="Arial" w:eastAsia="Times New Roman" w:hAnsi="Arial" w:cs="Arial"/>
          <w:color w:val="000000"/>
          <w:sz w:val="20"/>
          <w:szCs w:val="20"/>
        </w:rPr>
        <w:t xml:space="preserve"> </w:t>
      </w:r>
      <w:r w:rsidR="00FB0B9B" w:rsidRPr="00FB0B9B">
        <w:rPr>
          <w:rFonts w:ascii="Arial" w:eastAsia="Times New Roman" w:hAnsi="Arial" w:cs="Arial"/>
          <w:color w:val="000000"/>
          <w:sz w:val="20"/>
          <w:szCs w:val="20"/>
        </w:rPr>
        <w:t>(1977)</w:t>
      </w:r>
    </w:p>
    <w:p w:rsidR="00F34BE3" w:rsidRPr="00FB0B9B" w:rsidRDefault="00FB0B9B" w:rsidP="00FB0B9B">
      <w:pPr>
        <w:pStyle w:val="ListParagraph"/>
        <w:numPr>
          <w:ilvl w:val="0"/>
          <w:numId w:val="5"/>
        </w:numPr>
        <w:spacing w:after="0" w:line="360" w:lineRule="auto"/>
        <w:ind w:left="432" w:hanging="432"/>
        <w:rPr>
          <w:rFonts w:ascii="Arial" w:eastAsia="Times New Roman" w:hAnsi="Arial" w:cs="Arial"/>
          <w:color w:val="000000"/>
          <w:sz w:val="20"/>
          <w:szCs w:val="20"/>
        </w:rPr>
      </w:pPr>
      <w:r>
        <w:rPr>
          <w:rFonts w:ascii="Arial" w:eastAsia="Times New Roman" w:hAnsi="Arial" w:cs="Arial"/>
          <w:color w:val="000000"/>
          <w:sz w:val="20"/>
          <w:szCs w:val="20"/>
        </w:rPr>
        <w:t xml:space="preserve">Juris Doctor, </w:t>
      </w:r>
      <w:r w:rsidR="00F34BE3" w:rsidRPr="00FB0B9B">
        <w:rPr>
          <w:rFonts w:ascii="Arial" w:eastAsia="Times New Roman" w:hAnsi="Arial" w:cs="Arial"/>
          <w:color w:val="000000"/>
          <w:sz w:val="20"/>
          <w:szCs w:val="20"/>
        </w:rPr>
        <w:t>Loyola U</w:t>
      </w:r>
      <w:r>
        <w:rPr>
          <w:rFonts w:ascii="Arial" w:eastAsia="Times New Roman" w:hAnsi="Arial" w:cs="Arial"/>
          <w:color w:val="000000"/>
          <w:sz w:val="20"/>
          <w:szCs w:val="20"/>
        </w:rPr>
        <w:t>niversity Chicago School of Law (</w:t>
      </w:r>
      <w:r w:rsidR="00F34BE3" w:rsidRPr="00FB0B9B">
        <w:rPr>
          <w:rFonts w:ascii="Arial" w:eastAsia="Times New Roman" w:hAnsi="Arial" w:cs="Arial"/>
          <w:color w:val="000000"/>
          <w:sz w:val="20"/>
          <w:szCs w:val="20"/>
        </w:rPr>
        <w:t>law review</w:t>
      </w:r>
      <w:r>
        <w:rPr>
          <w:rFonts w:ascii="Arial" w:eastAsia="Times New Roman" w:hAnsi="Arial" w:cs="Arial"/>
          <w:color w:val="000000"/>
          <w:sz w:val="20"/>
          <w:szCs w:val="20"/>
        </w:rPr>
        <w:t>) (1980)</w:t>
      </w:r>
    </w:p>
    <w:p w:rsidR="00594EA7" w:rsidRPr="00C74582" w:rsidRDefault="00594EA7" w:rsidP="00594EA7">
      <w:pPr>
        <w:spacing w:after="0" w:line="360" w:lineRule="auto"/>
        <w:ind w:firstLine="720"/>
        <w:rPr>
          <w:rFonts w:ascii="Arial" w:eastAsia="Times New Roman" w:hAnsi="Arial" w:cs="Arial"/>
          <w:color w:val="000000"/>
          <w:sz w:val="20"/>
          <w:szCs w:val="20"/>
        </w:rPr>
      </w:pPr>
    </w:p>
    <w:p w:rsidR="0016294D" w:rsidRPr="00C74582" w:rsidRDefault="00C74582" w:rsidP="00056778">
      <w:pPr>
        <w:spacing w:after="0" w:line="360" w:lineRule="auto"/>
        <w:rPr>
          <w:rStyle w:val="Strong"/>
        </w:rPr>
      </w:pPr>
      <w:r>
        <w:rPr>
          <w:rStyle w:val="Strong"/>
        </w:rPr>
        <w:t xml:space="preserve">Past </w:t>
      </w:r>
      <w:r w:rsidR="0016294D" w:rsidRPr="00C74582">
        <w:rPr>
          <w:rStyle w:val="Strong"/>
        </w:rPr>
        <w:t>Appointments</w:t>
      </w:r>
    </w:p>
    <w:p w:rsidR="00C74582" w:rsidRDefault="00E00E9D" w:rsidP="00056778">
      <w:pPr>
        <w:pStyle w:val="ListParagraph"/>
        <w:numPr>
          <w:ilvl w:val="0"/>
          <w:numId w:val="3"/>
        </w:numPr>
        <w:spacing w:after="0" w:line="360" w:lineRule="auto"/>
        <w:ind w:left="432" w:hanging="432"/>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Review Board and Hearing Board </w:t>
      </w:r>
      <w:r w:rsidR="00C74582">
        <w:rPr>
          <w:rFonts w:ascii="Arial" w:eastAsia="Times New Roman" w:hAnsi="Arial" w:cs="Arial"/>
          <w:color w:val="000000"/>
          <w:sz w:val="20"/>
          <w:szCs w:val="20"/>
        </w:rPr>
        <w:t xml:space="preserve">(Panel Chair) </w:t>
      </w:r>
      <w:r w:rsidRPr="00C74582">
        <w:rPr>
          <w:rFonts w:ascii="Arial" w:eastAsia="Times New Roman" w:hAnsi="Arial" w:cs="Arial"/>
          <w:color w:val="000000"/>
          <w:sz w:val="20"/>
          <w:szCs w:val="20"/>
        </w:rPr>
        <w:t>for the Illinois Supreme Court Attorney Registration and Disciplinary Commission</w:t>
      </w:r>
      <w:r w:rsidR="00C74582">
        <w:rPr>
          <w:rFonts w:ascii="Arial" w:eastAsia="Times New Roman" w:hAnsi="Arial" w:cs="Arial"/>
          <w:color w:val="000000"/>
          <w:sz w:val="20"/>
          <w:szCs w:val="20"/>
        </w:rPr>
        <w:t xml:space="preserve"> (ARDC)</w:t>
      </w:r>
    </w:p>
    <w:p w:rsidR="00C74582" w:rsidRDefault="0016294D" w:rsidP="00C74582">
      <w:pPr>
        <w:pStyle w:val="ListParagraph"/>
        <w:numPr>
          <w:ilvl w:val="0"/>
          <w:numId w:val="3"/>
        </w:numPr>
        <w:spacing w:after="0" w:line="360" w:lineRule="auto"/>
        <w:ind w:left="432" w:hanging="432"/>
        <w:rPr>
          <w:rFonts w:ascii="Arial" w:eastAsia="Times New Roman" w:hAnsi="Arial" w:cs="Arial"/>
          <w:color w:val="000000"/>
          <w:sz w:val="20"/>
          <w:szCs w:val="20"/>
        </w:rPr>
      </w:pPr>
      <w:r w:rsidRPr="00C74582">
        <w:rPr>
          <w:rFonts w:ascii="Arial" w:eastAsia="Times New Roman" w:hAnsi="Arial" w:cs="Arial"/>
          <w:color w:val="000000"/>
          <w:sz w:val="20"/>
          <w:szCs w:val="20"/>
        </w:rPr>
        <w:t>Adjunct Professor and Lecturer in antitrust law at Loyola University Chicago School of Law Health Care Institute (L.L.M. program</w:t>
      </w:r>
    </w:p>
    <w:p w:rsidR="00C74582" w:rsidRDefault="0016294D" w:rsidP="00C74582">
      <w:pPr>
        <w:pStyle w:val="ListParagraph"/>
        <w:numPr>
          <w:ilvl w:val="0"/>
          <w:numId w:val="3"/>
        </w:numPr>
        <w:spacing w:after="0" w:line="360" w:lineRule="auto"/>
        <w:ind w:left="432" w:hanging="432"/>
        <w:rPr>
          <w:rFonts w:ascii="Arial" w:eastAsia="Times New Roman" w:hAnsi="Arial" w:cs="Arial"/>
          <w:color w:val="000000"/>
          <w:sz w:val="20"/>
          <w:szCs w:val="20"/>
        </w:rPr>
      </w:pPr>
      <w:r w:rsidRPr="00C74582">
        <w:rPr>
          <w:rFonts w:ascii="Arial" w:eastAsia="Times New Roman" w:hAnsi="Arial" w:cs="Arial"/>
          <w:color w:val="000000"/>
          <w:sz w:val="20"/>
          <w:szCs w:val="20"/>
        </w:rPr>
        <w:t>Director of Special Projects to Loyola University Chicago Law School, Institute for Consumer Antitrust Studies</w:t>
      </w:r>
      <w:r w:rsidR="00C74582">
        <w:rPr>
          <w:rFonts w:ascii="Arial" w:eastAsia="Times New Roman" w:hAnsi="Arial" w:cs="Arial"/>
          <w:color w:val="000000"/>
          <w:sz w:val="20"/>
          <w:szCs w:val="20"/>
        </w:rPr>
        <w:t xml:space="preserve"> (</w:t>
      </w:r>
      <w:r w:rsidRPr="00C74582">
        <w:rPr>
          <w:rFonts w:ascii="Arial" w:eastAsia="Times New Roman" w:hAnsi="Arial" w:cs="Arial"/>
          <w:color w:val="000000"/>
          <w:sz w:val="20"/>
          <w:szCs w:val="20"/>
        </w:rPr>
        <w:t>member</w:t>
      </w:r>
      <w:r w:rsidR="00C74582">
        <w:rPr>
          <w:rFonts w:ascii="Arial" w:eastAsia="Times New Roman" w:hAnsi="Arial" w:cs="Arial"/>
          <w:color w:val="000000"/>
          <w:sz w:val="20"/>
          <w:szCs w:val="20"/>
        </w:rPr>
        <w:t>,</w:t>
      </w:r>
      <w:r w:rsidRPr="00C74582">
        <w:rPr>
          <w:rFonts w:ascii="Arial" w:eastAsia="Times New Roman" w:hAnsi="Arial" w:cs="Arial"/>
          <w:color w:val="000000"/>
          <w:sz w:val="20"/>
          <w:szCs w:val="20"/>
        </w:rPr>
        <w:t xml:space="preserve"> Advisory Board</w:t>
      </w:r>
      <w:r w:rsidR="003E6ABA">
        <w:rPr>
          <w:rFonts w:ascii="Arial" w:eastAsia="Times New Roman" w:hAnsi="Arial" w:cs="Arial"/>
          <w:color w:val="000000"/>
          <w:sz w:val="20"/>
          <w:szCs w:val="20"/>
        </w:rPr>
        <w:t>)</w:t>
      </w:r>
    </w:p>
    <w:p w:rsidR="0016294D" w:rsidRPr="00C74582" w:rsidRDefault="0016294D" w:rsidP="00C74582">
      <w:pPr>
        <w:pStyle w:val="ListParagraph"/>
        <w:numPr>
          <w:ilvl w:val="0"/>
          <w:numId w:val="3"/>
        </w:numPr>
        <w:spacing w:after="0" w:line="360" w:lineRule="auto"/>
        <w:ind w:left="432" w:hanging="432"/>
        <w:rPr>
          <w:rFonts w:ascii="Arial" w:eastAsia="Times New Roman" w:hAnsi="Arial" w:cs="Arial"/>
          <w:color w:val="000000"/>
          <w:sz w:val="20"/>
          <w:szCs w:val="20"/>
        </w:rPr>
      </w:pPr>
      <w:r w:rsidRPr="00C74582">
        <w:rPr>
          <w:rFonts w:ascii="Arial" w:eastAsia="Times New Roman" w:hAnsi="Arial" w:cs="Arial"/>
          <w:color w:val="000000"/>
          <w:sz w:val="20"/>
          <w:szCs w:val="20"/>
        </w:rPr>
        <w:t>Drug and Health Industry Sub-Committee of the American Antitrust Institute.</w:t>
      </w:r>
    </w:p>
    <w:p w:rsidR="00594EA7" w:rsidRPr="00C74582" w:rsidRDefault="00594EA7" w:rsidP="00594EA7">
      <w:pPr>
        <w:spacing w:after="0" w:line="360" w:lineRule="auto"/>
        <w:ind w:firstLine="720"/>
        <w:rPr>
          <w:rFonts w:ascii="Arial" w:eastAsia="Times New Roman" w:hAnsi="Arial" w:cs="Arial"/>
          <w:color w:val="000000"/>
          <w:sz w:val="20"/>
          <w:szCs w:val="20"/>
        </w:rPr>
      </w:pPr>
    </w:p>
    <w:p w:rsidR="0016294D" w:rsidRPr="00C74582" w:rsidRDefault="0016294D" w:rsidP="003E6ABA">
      <w:pPr>
        <w:spacing w:line="240" w:lineRule="auto"/>
        <w:rPr>
          <w:rStyle w:val="Strong"/>
        </w:rPr>
      </w:pPr>
      <w:r w:rsidRPr="00C74582">
        <w:rPr>
          <w:rStyle w:val="Strong"/>
        </w:rPr>
        <w:t>Mediator</w:t>
      </w:r>
      <w:r w:rsidR="00AD5BF8" w:rsidRPr="00C74582">
        <w:rPr>
          <w:rStyle w:val="Strong"/>
        </w:rPr>
        <w:t>/Arbitrator</w:t>
      </w:r>
    </w:p>
    <w:p w:rsidR="003E6ABA" w:rsidRDefault="0016294D" w:rsidP="00FB0B9B">
      <w:pPr>
        <w:pStyle w:val="ListParagraph"/>
        <w:numPr>
          <w:ilvl w:val="0"/>
          <w:numId w:val="2"/>
        </w:numPr>
        <w:spacing w:line="360" w:lineRule="auto"/>
        <w:ind w:left="432" w:hanging="432"/>
        <w:rPr>
          <w:rFonts w:ascii="Arial" w:hAnsi="Arial" w:cs="Arial"/>
          <w:sz w:val="20"/>
          <w:szCs w:val="20"/>
        </w:rPr>
      </w:pPr>
      <w:r w:rsidRPr="003E6ABA">
        <w:rPr>
          <w:rFonts w:ascii="Arial" w:hAnsi="Arial" w:cs="Arial"/>
          <w:sz w:val="20"/>
          <w:szCs w:val="20"/>
        </w:rPr>
        <w:t>Mediator Certification – Northwestern University</w:t>
      </w:r>
    </w:p>
    <w:p w:rsidR="0016294D" w:rsidRPr="003E6ABA" w:rsidRDefault="006B48CB" w:rsidP="00FB0B9B">
      <w:pPr>
        <w:pStyle w:val="ListParagraph"/>
        <w:numPr>
          <w:ilvl w:val="0"/>
          <w:numId w:val="2"/>
        </w:numPr>
        <w:spacing w:line="360" w:lineRule="auto"/>
        <w:ind w:left="432" w:hanging="432"/>
        <w:rPr>
          <w:rFonts w:ascii="Arial" w:hAnsi="Arial" w:cs="Arial"/>
          <w:sz w:val="20"/>
          <w:szCs w:val="20"/>
        </w:rPr>
      </w:pPr>
      <w:r>
        <w:rPr>
          <w:rFonts w:ascii="Arial" w:hAnsi="Arial" w:cs="Arial"/>
          <w:sz w:val="20"/>
          <w:szCs w:val="20"/>
        </w:rPr>
        <w:t>Secretary and Vice President</w:t>
      </w:r>
      <w:r w:rsidR="0016294D" w:rsidRPr="003E6ABA">
        <w:rPr>
          <w:rFonts w:ascii="Arial" w:hAnsi="Arial" w:cs="Arial"/>
          <w:sz w:val="20"/>
          <w:szCs w:val="20"/>
        </w:rPr>
        <w:t xml:space="preserve"> of the Association of Attorney Mediators</w:t>
      </w:r>
      <w:r>
        <w:rPr>
          <w:rFonts w:ascii="Arial" w:hAnsi="Arial" w:cs="Arial"/>
          <w:sz w:val="20"/>
          <w:szCs w:val="20"/>
        </w:rPr>
        <w:t>, Illinois Chapter</w:t>
      </w:r>
      <w:r w:rsidR="0016294D" w:rsidRPr="003E6ABA">
        <w:rPr>
          <w:rFonts w:ascii="Arial" w:hAnsi="Arial" w:cs="Arial"/>
          <w:sz w:val="20"/>
          <w:szCs w:val="20"/>
        </w:rPr>
        <w:t xml:space="preserve"> (AAM)</w:t>
      </w:r>
    </w:p>
    <w:p w:rsidR="0016294D" w:rsidRPr="00C74582" w:rsidRDefault="0016294D" w:rsidP="00FB0B9B">
      <w:pPr>
        <w:pStyle w:val="ListParagraph"/>
        <w:numPr>
          <w:ilvl w:val="0"/>
          <w:numId w:val="2"/>
        </w:numPr>
        <w:spacing w:line="360" w:lineRule="auto"/>
        <w:ind w:left="432" w:hanging="432"/>
        <w:rPr>
          <w:rFonts w:ascii="Arial" w:hAnsi="Arial" w:cs="Arial"/>
          <w:sz w:val="20"/>
          <w:szCs w:val="20"/>
        </w:rPr>
      </w:pPr>
      <w:r w:rsidRPr="00C74582">
        <w:rPr>
          <w:rFonts w:ascii="Arial" w:hAnsi="Arial" w:cs="Arial"/>
          <w:sz w:val="20"/>
          <w:szCs w:val="20"/>
        </w:rPr>
        <w:t>Member of the Association for Conflict Resolution (ACR)</w:t>
      </w:r>
    </w:p>
    <w:p w:rsidR="00737827" w:rsidRPr="00C74582" w:rsidRDefault="00737827" w:rsidP="00FB0B9B">
      <w:pPr>
        <w:pStyle w:val="ListParagraph"/>
        <w:numPr>
          <w:ilvl w:val="0"/>
          <w:numId w:val="2"/>
        </w:numPr>
        <w:spacing w:line="360" w:lineRule="auto"/>
        <w:ind w:left="432" w:hanging="432"/>
        <w:rPr>
          <w:rFonts w:ascii="Arial" w:hAnsi="Arial" w:cs="Arial"/>
          <w:sz w:val="20"/>
          <w:szCs w:val="20"/>
        </w:rPr>
      </w:pPr>
      <w:r w:rsidRPr="00C74582">
        <w:rPr>
          <w:rFonts w:ascii="Arial" w:hAnsi="Arial" w:cs="Arial"/>
          <w:sz w:val="20"/>
          <w:szCs w:val="20"/>
        </w:rPr>
        <w:t>Chicago Bar Association – Committee on Alternative Dispute Resolution</w:t>
      </w:r>
    </w:p>
    <w:p w:rsidR="003E6ABA" w:rsidRDefault="007C3FB1" w:rsidP="00FB0B9B">
      <w:pPr>
        <w:pStyle w:val="ListParagraph"/>
        <w:numPr>
          <w:ilvl w:val="0"/>
          <w:numId w:val="2"/>
        </w:numPr>
        <w:spacing w:after="0" w:line="360" w:lineRule="auto"/>
        <w:ind w:left="432" w:hanging="432"/>
        <w:contextualSpacing w:val="0"/>
        <w:rPr>
          <w:rFonts w:ascii="Arial" w:hAnsi="Arial" w:cs="Arial"/>
          <w:sz w:val="20"/>
          <w:szCs w:val="20"/>
        </w:rPr>
      </w:pPr>
      <w:r>
        <w:rPr>
          <w:rFonts w:ascii="Arial" w:hAnsi="Arial" w:cs="Arial"/>
          <w:sz w:val="20"/>
          <w:szCs w:val="20"/>
        </w:rPr>
        <w:t xml:space="preserve">Volunteer </w:t>
      </w:r>
      <w:r w:rsidR="0016294D" w:rsidRPr="00C74582">
        <w:rPr>
          <w:rFonts w:ascii="Arial" w:hAnsi="Arial" w:cs="Arial"/>
          <w:sz w:val="20"/>
          <w:szCs w:val="20"/>
        </w:rPr>
        <w:t>Mediator for the Circuit Court of Will County, Illinois</w:t>
      </w:r>
    </w:p>
    <w:p w:rsidR="00876FB6" w:rsidRPr="003E6ABA" w:rsidRDefault="00876FB6" w:rsidP="00FB0B9B">
      <w:pPr>
        <w:pStyle w:val="ListParagraph"/>
        <w:numPr>
          <w:ilvl w:val="0"/>
          <w:numId w:val="2"/>
        </w:numPr>
        <w:spacing w:after="0" w:line="360" w:lineRule="auto"/>
        <w:ind w:left="432" w:hanging="432"/>
        <w:contextualSpacing w:val="0"/>
        <w:rPr>
          <w:rFonts w:ascii="Arial" w:hAnsi="Arial" w:cs="Arial"/>
          <w:sz w:val="20"/>
          <w:szCs w:val="20"/>
        </w:rPr>
      </w:pPr>
      <w:r w:rsidRPr="003E6ABA">
        <w:rPr>
          <w:rFonts w:ascii="Arial" w:hAnsi="Arial" w:cs="Arial"/>
          <w:sz w:val="20"/>
          <w:szCs w:val="20"/>
          <w:lang w:val="en"/>
        </w:rPr>
        <w:t>Court Certified Mediator, Circuit Court of Cook County, Illinois, Court-Annexed Major Case Civil Mediation Program</w:t>
      </w:r>
    </w:p>
    <w:p w:rsidR="00AD5BF8" w:rsidRDefault="00AD5BF8" w:rsidP="00FB0B9B">
      <w:pPr>
        <w:pStyle w:val="ListParagraph"/>
        <w:numPr>
          <w:ilvl w:val="0"/>
          <w:numId w:val="2"/>
        </w:numPr>
        <w:spacing w:after="0" w:line="360" w:lineRule="auto"/>
        <w:ind w:left="432" w:hanging="432"/>
        <w:contextualSpacing w:val="0"/>
        <w:rPr>
          <w:rFonts w:ascii="Arial" w:hAnsi="Arial" w:cs="Arial"/>
          <w:sz w:val="20"/>
          <w:szCs w:val="20"/>
        </w:rPr>
      </w:pPr>
      <w:r w:rsidRPr="00C74582">
        <w:rPr>
          <w:rFonts w:ascii="Arial" w:hAnsi="Arial" w:cs="Arial"/>
          <w:sz w:val="20"/>
          <w:szCs w:val="20"/>
        </w:rPr>
        <w:t>Arbitrator for Circuit Court of Cook County, Illinois (chair qualified)</w:t>
      </w:r>
    </w:p>
    <w:p w:rsidR="002C5D49" w:rsidRPr="00C74582" w:rsidRDefault="002C5D49" w:rsidP="00FB0B9B">
      <w:pPr>
        <w:pStyle w:val="ListParagraph"/>
        <w:numPr>
          <w:ilvl w:val="0"/>
          <w:numId w:val="2"/>
        </w:numPr>
        <w:spacing w:after="0" w:line="360" w:lineRule="auto"/>
        <w:ind w:left="432" w:hanging="432"/>
        <w:contextualSpacing w:val="0"/>
        <w:rPr>
          <w:rFonts w:ascii="Arial" w:hAnsi="Arial" w:cs="Arial"/>
          <w:sz w:val="20"/>
          <w:szCs w:val="20"/>
        </w:rPr>
      </w:pPr>
      <w:r>
        <w:rPr>
          <w:rFonts w:ascii="Arial" w:hAnsi="Arial" w:cs="Arial"/>
          <w:sz w:val="20"/>
          <w:szCs w:val="20"/>
        </w:rPr>
        <w:t>Commercial Calendar Arbitrator, Circuit Court of Cook County</w:t>
      </w:r>
    </w:p>
    <w:p w:rsidR="00AD5BF8" w:rsidRPr="00C74582" w:rsidRDefault="00AD5BF8" w:rsidP="00594EA7">
      <w:pPr>
        <w:pStyle w:val="ListParagraph"/>
        <w:spacing w:after="0" w:line="360" w:lineRule="auto"/>
        <w:contextualSpacing w:val="0"/>
        <w:rPr>
          <w:rFonts w:ascii="Arial" w:hAnsi="Arial" w:cs="Arial"/>
          <w:sz w:val="20"/>
          <w:szCs w:val="20"/>
        </w:rPr>
      </w:pPr>
    </w:p>
    <w:p w:rsidR="00A03E7F" w:rsidRPr="00C74582" w:rsidRDefault="006B48CB" w:rsidP="00594EA7">
      <w:pPr>
        <w:spacing w:after="0" w:line="360" w:lineRule="auto"/>
        <w:rPr>
          <w:rFonts w:ascii="Arial" w:hAnsi="Arial" w:cs="Arial"/>
          <w:sz w:val="20"/>
          <w:szCs w:val="20"/>
        </w:rPr>
      </w:pPr>
      <w:r>
        <w:rPr>
          <w:rFonts w:ascii="Arial" w:hAnsi="Arial" w:cs="Arial"/>
          <w:sz w:val="20"/>
          <w:szCs w:val="20"/>
        </w:rPr>
        <w:t>S</w:t>
      </w:r>
      <w:r w:rsidR="00A92CF2" w:rsidRPr="00C74582">
        <w:rPr>
          <w:rFonts w:ascii="Arial" w:hAnsi="Arial" w:cs="Arial"/>
          <w:sz w:val="20"/>
          <w:szCs w:val="20"/>
        </w:rPr>
        <w:t xml:space="preserve">uccessfully mediated cases involving </w:t>
      </w:r>
      <w:r w:rsidR="00AD5BF8" w:rsidRPr="00C74582">
        <w:rPr>
          <w:rFonts w:ascii="Arial" w:hAnsi="Arial" w:cs="Arial"/>
          <w:sz w:val="20"/>
          <w:szCs w:val="20"/>
        </w:rPr>
        <w:t xml:space="preserve">employment disputes, </w:t>
      </w:r>
      <w:r w:rsidR="00A92CF2" w:rsidRPr="00C74582">
        <w:rPr>
          <w:rFonts w:ascii="Arial" w:hAnsi="Arial" w:cs="Arial"/>
          <w:sz w:val="20"/>
          <w:szCs w:val="20"/>
        </w:rPr>
        <w:t xml:space="preserve">contract breaches, commercial leases, </w:t>
      </w:r>
      <w:r w:rsidR="00594EA7" w:rsidRPr="00C74582">
        <w:rPr>
          <w:rFonts w:ascii="Arial" w:hAnsi="Arial" w:cs="Arial"/>
          <w:sz w:val="20"/>
          <w:szCs w:val="20"/>
        </w:rPr>
        <w:t xml:space="preserve">defamation, </w:t>
      </w:r>
      <w:r w:rsidR="003C05D6" w:rsidRPr="00C74582">
        <w:rPr>
          <w:rFonts w:ascii="Arial" w:hAnsi="Arial" w:cs="Arial"/>
          <w:sz w:val="20"/>
          <w:szCs w:val="20"/>
        </w:rPr>
        <w:t xml:space="preserve">professional liability; </w:t>
      </w:r>
      <w:r w:rsidR="00A92CF2" w:rsidRPr="00C74582">
        <w:rPr>
          <w:rFonts w:ascii="Arial" w:hAnsi="Arial" w:cs="Arial"/>
          <w:sz w:val="20"/>
          <w:szCs w:val="20"/>
        </w:rPr>
        <w:t xml:space="preserve">personal injuries, property damage claims, and residential </w:t>
      </w:r>
      <w:r w:rsidR="00594EA7" w:rsidRPr="00C74582">
        <w:rPr>
          <w:rFonts w:ascii="Arial" w:hAnsi="Arial" w:cs="Arial"/>
          <w:sz w:val="20"/>
          <w:szCs w:val="20"/>
        </w:rPr>
        <w:t xml:space="preserve">and commercial </w:t>
      </w:r>
      <w:r w:rsidR="00A92CF2" w:rsidRPr="00C74582">
        <w:rPr>
          <w:rFonts w:ascii="Arial" w:hAnsi="Arial" w:cs="Arial"/>
          <w:sz w:val="20"/>
          <w:szCs w:val="20"/>
        </w:rPr>
        <w:t>lease matters</w:t>
      </w:r>
      <w:r w:rsidR="00A03E7F" w:rsidRPr="00C74582">
        <w:rPr>
          <w:rFonts w:ascii="Arial" w:hAnsi="Arial" w:cs="Arial"/>
          <w:sz w:val="20"/>
          <w:szCs w:val="20"/>
        </w:rPr>
        <w:t>.</w:t>
      </w:r>
    </w:p>
    <w:p w:rsidR="00594EA7" w:rsidRPr="00C74582" w:rsidRDefault="00594EA7" w:rsidP="00594EA7">
      <w:pPr>
        <w:spacing w:after="0" w:line="360" w:lineRule="auto"/>
        <w:rPr>
          <w:rFonts w:ascii="Arial" w:hAnsi="Arial" w:cs="Arial"/>
          <w:sz w:val="20"/>
          <w:szCs w:val="20"/>
        </w:rPr>
      </w:pPr>
    </w:p>
    <w:p w:rsidR="00A03E7F" w:rsidRPr="00C74582" w:rsidRDefault="00A03E7F" w:rsidP="00056778">
      <w:pPr>
        <w:spacing w:after="0" w:line="360" w:lineRule="auto"/>
        <w:rPr>
          <w:rStyle w:val="Strong"/>
        </w:rPr>
      </w:pPr>
      <w:r w:rsidRPr="00C74582">
        <w:rPr>
          <w:rStyle w:val="Strong"/>
        </w:rPr>
        <w:t xml:space="preserve">Continuing </w:t>
      </w:r>
      <w:r w:rsidR="007C70BC" w:rsidRPr="00C74582">
        <w:rPr>
          <w:rStyle w:val="Strong"/>
        </w:rPr>
        <w:t xml:space="preserve">Recent ADR </w:t>
      </w:r>
      <w:r w:rsidR="003C05D6" w:rsidRPr="00C74582">
        <w:rPr>
          <w:rStyle w:val="Strong"/>
        </w:rPr>
        <w:t xml:space="preserve">Related </w:t>
      </w:r>
      <w:r w:rsidR="007C70BC" w:rsidRPr="00C74582">
        <w:rPr>
          <w:rStyle w:val="Strong"/>
        </w:rPr>
        <w:t>Training</w:t>
      </w:r>
    </w:p>
    <w:p w:rsidR="007C70BC" w:rsidRPr="00C74582" w:rsidRDefault="007C70BC" w:rsidP="00056778">
      <w:pPr>
        <w:spacing w:after="0" w:line="360" w:lineRule="auto"/>
        <w:rPr>
          <w:rFonts w:ascii="Arial" w:hAnsi="Arial" w:cs="Arial"/>
          <w:sz w:val="20"/>
          <w:szCs w:val="20"/>
        </w:rPr>
      </w:pPr>
      <w:r w:rsidRPr="00C74582">
        <w:rPr>
          <w:rFonts w:ascii="Arial" w:hAnsi="Arial" w:cs="Arial"/>
          <w:sz w:val="20"/>
          <w:szCs w:val="20"/>
        </w:rPr>
        <w:t xml:space="preserve">New &amp; Emerging Ethical Standards in ADR (2012); </w:t>
      </w:r>
      <w:r w:rsidR="003C05D6" w:rsidRPr="00C74582">
        <w:rPr>
          <w:rFonts w:ascii="Arial" w:hAnsi="Arial" w:cs="Arial"/>
          <w:sz w:val="20"/>
          <w:szCs w:val="20"/>
        </w:rPr>
        <w:t xml:space="preserve">Private Arbitration: A Growing Space for International Dispute Resolution? (2012); Seven Deadly Sins of Mediation Advocacy (2012); It’s a Shrinking World: Acceleration and Evolution in Dispute Resolution (2012); </w:t>
      </w:r>
      <w:r w:rsidRPr="00C74582">
        <w:rPr>
          <w:rFonts w:ascii="Arial" w:hAnsi="Arial" w:cs="Arial"/>
          <w:sz w:val="20"/>
          <w:szCs w:val="20"/>
        </w:rPr>
        <w:t xml:space="preserve">E-Discovery: Best Practices and Ethical </w:t>
      </w:r>
      <w:r w:rsidRPr="00C74582">
        <w:rPr>
          <w:rFonts w:ascii="Arial" w:hAnsi="Arial" w:cs="Arial"/>
          <w:sz w:val="20"/>
          <w:szCs w:val="20"/>
        </w:rPr>
        <w:lastRenderedPageBreak/>
        <w:t>Implication</w:t>
      </w:r>
      <w:r w:rsidR="003C05D6" w:rsidRPr="00C74582">
        <w:rPr>
          <w:rFonts w:ascii="Arial" w:hAnsi="Arial" w:cs="Arial"/>
          <w:sz w:val="20"/>
          <w:szCs w:val="20"/>
        </w:rPr>
        <w:t>s</w:t>
      </w:r>
      <w:r w:rsidRPr="00C74582">
        <w:rPr>
          <w:rFonts w:ascii="Arial" w:hAnsi="Arial" w:cs="Arial"/>
          <w:sz w:val="20"/>
          <w:szCs w:val="20"/>
        </w:rPr>
        <w:t xml:space="preserve"> (2012); The Art and War of Mediation (2013); </w:t>
      </w:r>
      <w:r w:rsidR="003C05D6" w:rsidRPr="00C74582">
        <w:rPr>
          <w:rFonts w:ascii="Arial" w:hAnsi="Arial" w:cs="Arial"/>
          <w:sz w:val="20"/>
          <w:szCs w:val="20"/>
        </w:rPr>
        <w:t xml:space="preserve">Successful Mediation From the Standpoint of the Mediator (2013); </w:t>
      </w:r>
      <w:r w:rsidR="00913733" w:rsidRPr="00C74582">
        <w:rPr>
          <w:rFonts w:ascii="Arial" w:hAnsi="Arial" w:cs="Arial"/>
          <w:sz w:val="20"/>
          <w:szCs w:val="20"/>
        </w:rPr>
        <w:t>Mediating an EEOC Case: Early Intervention Mediations – During Charge Handling Process (2013); Mediating an EEOC Case: Unique Aspects and Opportunities in Employment and Labor Disputes (2013); Non-Compete Agreements in Employment (2014); Choosing Between Judge, Jury and Arbitrator: What’s The Real Difference? (2014</w:t>
      </w:r>
      <w:r w:rsidR="003C05D6" w:rsidRPr="00C74582">
        <w:rPr>
          <w:rFonts w:ascii="Arial" w:hAnsi="Arial" w:cs="Arial"/>
          <w:sz w:val="20"/>
          <w:szCs w:val="20"/>
        </w:rPr>
        <w:t xml:space="preserve">); Advanced Employment Law and </w:t>
      </w:r>
      <w:r w:rsidR="00913733" w:rsidRPr="00C74582">
        <w:rPr>
          <w:rFonts w:ascii="Arial" w:hAnsi="Arial" w:cs="Arial"/>
          <w:sz w:val="20"/>
          <w:szCs w:val="20"/>
        </w:rPr>
        <w:t>Litigation: Segments A-E (2014);</w:t>
      </w:r>
      <w:r w:rsidR="003C05D6" w:rsidRPr="00C74582">
        <w:rPr>
          <w:rFonts w:ascii="Arial" w:hAnsi="Arial" w:cs="Arial"/>
          <w:sz w:val="20"/>
          <w:szCs w:val="20"/>
        </w:rPr>
        <w:t xml:space="preserve"> </w:t>
      </w:r>
      <w:proofErr w:type="gramStart"/>
      <w:r w:rsidR="00913733" w:rsidRPr="00C74582">
        <w:rPr>
          <w:rFonts w:ascii="Arial" w:hAnsi="Arial" w:cs="Arial"/>
          <w:sz w:val="20"/>
          <w:szCs w:val="20"/>
        </w:rPr>
        <w:t>The</w:t>
      </w:r>
      <w:proofErr w:type="gramEnd"/>
      <w:r w:rsidR="00913733" w:rsidRPr="00C74582">
        <w:rPr>
          <w:rFonts w:ascii="Arial" w:hAnsi="Arial" w:cs="Arial"/>
          <w:sz w:val="20"/>
          <w:szCs w:val="20"/>
        </w:rPr>
        <w:t xml:space="preserve"> Role of Gender on Mediation and Settlement Strategy (2014);</w:t>
      </w:r>
      <w:r w:rsidR="00976EF8" w:rsidRPr="00C74582">
        <w:rPr>
          <w:rFonts w:ascii="Arial" w:hAnsi="Arial" w:cs="Arial"/>
          <w:sz w:val="20"/>
          <w:szCs w:val="20"/>
        </w:rPr>
        <w:t xml:space="preserve"> Understanding Impasse in Negotiation and Mediation: How to Avoid, Prevent and Avoid Deadlock </w:t>
      </w:r>
      <w:r w:rsidR="003C05D6" w:rsidRPr="00C74582">
        <w:rPr>
          <w:rFonts w:ascii="Arial" w:hAnsi="Arial" w:cs="Arial"/>
          <w:sz w:val="20"/>
          <w:szCs w:val="20"/>
        </w:rPr>
        <w:t>(2014): Insurance Coverage Issues</w:t>
      </w:r>
      <w:r w:rsidR="00976EF8" w:rsidRPr="00C74582">
        <w:rPr>
          <w:rFonts w:ascii="Arial" w:hAnsi="Arial" w:cs="Arial"/>
          <w:sz w:val="20"/>
          <w:szCs w:val="20"/>
        </w:rPr>
        <w:t xml:space="preserve"> </w:t>
      </w:r>
      <w:r w:rsidR="003C05D6" w:rsidRPr="00C74582">
        <w:rPr>
          <w:rFonts w:ascii="Arial" w:hAnsi="Arial" w:cs="Arial"/>
          <w:sz w:val="20"/>
          <w:szCs w:val="20"/>
        </w:rPr>
        <w:t>in Personal Injury and Other Multiparty Tor</w:t>
      </w:r>
      <w:r w:rsidR="00697769" w:rsidRPr="00C74582">
        <w:rPr>
          <w:rFonts w:ascii="Arial" w:hAnsi="Arial" w:cs="Arial"/>
          <w:sz w:val="20"/>
          <w:szCs w:val="20"/>
        </w:rPr>
        <w:t>t Actions (2014)</w:t>
      </w:r>
      <w:r w:rsidR="00BE5A9F" w:rsidRPr="00C74582">
        <w:rPr>
          <w:rFonts w:ascii="Arial" w:hAnsi="Arial" w:cs="Arial"/>
          <w:sz w:val="20"/>
          <w:szCs w:val="20"/>
        </w:rPr>
        <w:t>; Selected Ethics Issues in Mediation and Settlement (2014)</w:t>
      </w:r>
    </w:p>
    <w:p w:rsidR="00594EA7" w:rsidRPr="00C74582" w:rsidRDefault="00594EA7" w:rsidP="00594EA7">
      <w:pPr>
        <w:spacing w:after="0" w:line="360" w:lineRule="auto"/>
        <w:rPr>
          <w:rFonts w:ascii="Arial" w:hAnsi="Arial" w:cs="Arial"/>
          <w:sz w:val="20"/>
          <w:szCs w:val="20"/>
        </w:rPr>
      </w:pPr>
    </w:p>
    <w:p w:rsidR="0016294D" w:rsidRPr="00C74582" w:rsidRDefault="0016294D" w:rsidP="00594EA7">
      <w:pPr>
        <w:spacing w:after="0" w:line="360" w:lineRule="auto"/>
        <w:rPr>
          <w:rStyle w:val="Strong"/>
        </w:rPr>
      </w:pPr>
      <w:r w:rsidRPr="00C74582">
        <w:rPr>
          <w:rStyle w:val="Strong"/>
        </w:rPr>
        <w:t>Legal Practice</w:t>
      </w:r>
    </w:p>
    <w:p w:rsidR="00F34BE3" w:rsidRDefault="003C05D6" w:rsidP="00D1106E">
      <w:pPr>
        <w:spacing w:after="0" w:line="360" w:lineRule="auto"/>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Mr. Gotfryd has represented both individual plaintiffs and defendants in a variety of other civil actions, including </w:t>
      </w:r>
      <w:r w:rsidR="00CF0D4D" w:rsidRPr="00C74582">
        <w:rPr>
          <w:rFonts w:ascii="Arial" w:eastAsia="Times New Roman" w:hAnsi="Arial" w:cs="Arial"/>
          <w:color w:val="000000"/>
          <w:sz w:val="20"/>
          <w:szCs w:val="20"/>
        </w:rPr>
        <w:t>property tort, real estate,</w:t>
      </w:r>
      <w:r w:rsidR="00CF0D4D">
        <w:rPr>
          <w:rFonts w:ascii="Arial" w:eastAsia="Times New Roman" w:hAnsi="Arial" w:cs="Arial"/>
          <w:color w:val="000000"/>
          <w:sz w:val="20"/>
          <w:szCs w:val="20"/>
        </w:rPr>
        <w:t xml:space="preserve"> </w:t>
      </w:r>
      <w:r w:rsidRPr="00C74582">
        <w:rPr>
          <w:rFonts w:ascii="Arial" w:eastAsia="Times New Roman" w:hAnsi="Arial" w:cs="Arial"/>
          <w:color w:val="000000"/>
          <w:sz w:val="20"/>
          <w:szCs w:val="20"/>
        </w:rPr>
        <w:t xml:space="preserve">employment, antitrust, trade secret, copyright, ERISA, shareholder, and personal injury actions. </w:t>
      </w:r>
      <w:r w:rsidR="0016294D" w:rsidRPr="00C74582">
        <w:rPr>
          <w:rFonts w:ascii="Arial" w:eastAsia="Times New Roman" w:hAnsi="Arial" w:cs="Arial"/>
          <w:color w:val="000000"/>
          <w:sz w:val="20"/>
          <w:szCs w:val="20"/>
        </w:rPr>
        <w:t>Mr. Gotfryd</w:t>
      </w:r>
      <w:r w:rsidR="00F34BE3" w:rsidRPr="00C74582">
        <w:rPr>
          <w:rFonts w:ascii="Arial" w:eastAsia="Times New Roman" w:hAnsi="Arial" w:cs="Arial"/>
          <w:color w:val="000000"/>
          <w:sz w:val="20"/>
          <w:szCs w:val="20"/>
        </w:rPr>
        <w:t xml:space="preserve"> has </w:t>
      </w:r>
      <w:r w:rsidRPr="00C74582">
        <w:rPr>
          <w:rFonts w:ascii="Arial" w:eastAsia="Times New Roman" w:hAnsi="Arial" w:cs="Arial"/>
          <w:color w:val="000000"/>
          <w:sz w:val="20"/>
          <w:szCs w:val="20"/>
        </w:rPr>
        <w:t xml:space="preserve">also </w:t>
      </w:r>
      <w:r w:rsidR="00F34BE3" w:rsidRPr="00C74582">
        <w:rPr>
          <w:rFonts w:ascii="Arial" w:eastAsia="Times New Roman" w:hAnsi="Arial" w:cs="Arial"/>
          <w:color w:val="000000"/>
          <w:sz w:val="20"/>
          <w:szCs w:val="20"/>
        </w:rPr>
        <w:t>served as counsel and class counsel in a multitude of litigation settings</w:t>
      </w:r>
      <w:r w:rsidR="00CF0D4D">
        <w:rPr>
          <w:rFonts w:ascii="Arial" w:eastAsia="Times New Roman" w:hAnsi="Arial" w:cs="Arial"/>
          <w:color w:val="000000"/>
          <w:sz w:val="20"/>
          <w:szCs w:val="20"/>
        </w:rPr>
        <w:t>, most recently relating to easements on railroad rights-of-way</w:t>
      </w:r>
      <w:r w:rsidR="00F34BE3" w:rsidRPr="00C74582">
        <w:rPr>
          <w:rFonts w:ascii="Arial" w:eastAsia="Times New Roman" w:hAnsi="Arial" w:cs="Arial"/>
          <w:color w:val="000000"/>
          <w:sz w:val="20"/>
          <w:szCs w:val="20"/>
        </w:rPr>
        <w:t>. His primary field of concentration has been federal and state antitrust law, both as a business counselor and representing business</w:t>
      </w:r>
      <w:r w:rsidR="0016294D" w:rsidRPr="00C74582">
        <w:rPr>
          <w:rFonts w:ascii="Arial" w:eastAsia="Times New Roman" w:hAnsi="Arial" w:cs="Arial"/>
          <w:color w:val="000000"/>
          <w:sz w:val="20"/>
          <w:szCs w:val="20"/>
        </w:rPr>
        <w:t>es and consumers in litigation.</w:t>
      </w:r>
    </w:p>
    <w:p w:rsidR="00D1106E" w:rsidRPr="00C74582" w:rsidRDefault="00D1106E" w:rsidP="00D1106E">
      <w:pPr>
        <w:spacing w:after="0" w:line="360" w:lineRule="auto"/>
        <w:rPr>
          <w:rFonts w:ascii="Arial" w:eastAsia="Times New Roman" w:hAnsi="Arial" w:cs="Arial"/>
          <w:color w:val="000000"/>
          <w:sz w:val="20"/>
          <w:szCs w:val="20"/>
        </w:rPr>
      </w:pPr>
    </w:p>
    <w:p w:rsidR="00F34BE3" w:rsidRPr="00C74582" w:rsidRDefault="00F34BE3" w:rsidP="00D1106E">
      <w:pPr>
        <w:spacing w:after="0" w:line="360" w:lineRule="auto"/>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Mr. Gotfryd’s antitrust litigation expertise has included civil antitrust damage class actions in industries as diverse as the Phonograph Records and Tapes, Industrial Gases, Glass Containers for commercial bottling, Brand Name Prescription Drugs, Citric Acid, High Fructose Corn Syrup, and other industries. </w:t>
      </w:r>
    </w:p>
    <w:p w:rsidR="00C74582" w:rsidRDefault="00C74582" w:rsidP="00594EA7">
      <w:pPr>
        <w:spacing w:after="0" w:line="360" w:lineRule="auto"/>
        <w:ind w:firstLine="720"/>
        <w:rPr>
          <w:rFonts w:ascii="Arial" w:eastAsia="Times New Roman" w:hAnsi="Arial" w:cs="Arial"/>
          <w:color w:val="000000"/>
          <w:sz w:val="20"/>
          <w:szCs w:val="20"/>
        </w:rPr>
      </w:pPr>
    </w:p>
    <w:p w:rsidR="00C74582" w:rsidRPr="00C74582" w:rsidRDefault="00C74582" w:rsidP="00C74582">
      <w:pPr>
        <w:spacing w:after="0" w:line="360" w:lineRule="auto"/>
        <w:rPr>
          <w:rStyle w:val="Strong"/>
        </w:rPr>
      </w:pPr>
      <w:r w:rsidRPr="00C74582">
        <w:rPr>
          <w:rStyle w:val="Strong"/>
        </w:rPr>
        <w:t>Author</w:t>
      </w:r>
    </w:p>
    <w:p w:rsidR="003E6ABA" w:rsidRPr="003E6ABA" w:rsidRDefault="00F34BE3" w:rsidP="003E6ABA">
      <w:pPr>
        <w:pStyle w:val="ListParagraph"/>
        <w:numPr>
          <w:ilvl w:val="0"/>
          <w:numId w:val="4"/>
        </w:numPr>
        <w:spacing w:line="360" w:lineRule="auto"/>
        <w:ind w:left="432" w:hanging="432"/>
        <w:rPr>
          <w:rFonts w:ascii="Arial" w:eastAsia="Times New Roman" w:hAnsi="Arial" w:cs="Arial"/>
          <w:i/>
          <w:iCs/>
          <w:color w:val="000000"/>
          <w:sz w:val="20"/>
          <w:szCs w:val="20"/>
        </w:rPr>
      </w:pPr>
      <w:r w:rsidRPr="003E6ABA">
        <w:rPr>
          <w:rFonts w:ascii="Arial" w:eastAsia="Times New Roman" w:hAnsi="Arial" w:cs="Arial"/>
          <w:i/>
          <w:iCs/>
          <w:color w:val="000000"/>
          <w:sz w:val="20"/>
          <w:szCs w:val="20"/>
        </w:rPr>
        <w:t>Hunt v. Blasius: A Gap In The Application Of The Illinois Strict Products Liability Theory, 11 Loy. U. L.J. 147 (1979)</w:t>
      </w:r>
    </w:p>
    <w:p w:rsidR="00C74582" w:rsidRPr="00C74582" w:rsidRDefault="00F34BE3" w:rsidP="003E6ABA">
      <w:pPr>
        <w:pStyle w:val="ListParagraph"/>
        <w:numPr>
          <w:ilvl w:val="0"/>
          <w:numId w:val="4"/>
        </w:numPr>
        <w:spacing w:after="0" w:line="360" w:lineRule="auto"/>
        <w:ind w:left="432" w:hanging="432"/>
        <w:rPr>
          <w:rFonts w:ascii="Arial" w:eastAsia="Times New Roman" w:hAnsi="Arial" w:cs="Arial"/>
          <w:color w:val="000000"/>
          <w:sz w:val="20"/>
          <w:szCs w:val="20"/>
        </w:rPr>
      </w:pPr>
      <w:r w:rsidRPr="00C74582">
        <w:rPr>
          <w:rFonts w:ascii="Arial" w:eastAsia="Times New Roman" w:hAnsi="Arial" w:cs="Arial"/>
          <w:i/>
          <w:iCs/>
          <w:color w:val="000000"/>
          <w:sz w:val="20"/>
          <w:szCs w:val="20"/>
        </w:rPr>
        <w:t>Consumer Guide To Antitrust</w:t>
      </w:r>
      <w:r w:rsidRPr="00C74582">
        <w:rPr>
          <w:rFonts w:ascii="Arial" w:eastAsia="Times New Roman" w:hAnsi="Arial" w:cs="Arial"/>
          <w:color w:val="000000"/>
          <w:sz w:val="20"/>
          <w:szCs w:val="20"/>
        </w:rPr>
        <w:t>, Institute for Consumer Antitrust Studies website (</w:t>
      </w:r>
      <w:hyperlink r:id="rId5" w:history="1">
        <w:r w:rsidR="00C74582" w:rsidRPr="002D6514">
          <w:rPr>
            <w:rStyle w:val="Hyperlink"/>
            <w:rFonts w:ascii="Arial" w:eastAsia="Times New Roman" w:hAnsi="Arial" w:cs="Arial"/>
            <w:iCs/>
            <w:sz w:val="20"/>
            <w:szCs w:val="20"/>
          </w:rPr>
          <w:t>www.luc.edu</w:t>
        </w:r>
      </w:hyperlink>
      <w:r w:rsidRPr="00C74582">
        <w:rPr>
          <w:rFonts w:ascii="Arial" w:eastAsia="Times New Roman" w:hAnsi="Arial" w:cs="Arial"/>
          <w:iCs/>
          <w:sz w:val="20"/>
          <w:szCs w:val="20"/>
        </w:rPr>
        <w:t>)</w:t>
      </w:r>
    </w:p>
    <w:p w:rsidR="00C74582" w:rsidRDefault="00F34BE3" w:rsidP="003E6ABA">
      <w:pPr>
        <w:pStyle w:val="ListParagraph"/>
        <w:numPr>
          <w:ilvl w:val="0"/>
          <w:numId w:val="4"/>
        </w:numPr>
        <w:spacing w:after="0" w:line="360" w:lineRule="auto"/>
        <w:ind w:left="432" w:hanging="432"/>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 (with James B. Sloan) </w:t>
      </w:r>
      <w:r w:rsidRPr="00C74582">
        <w:rPr>
          <w:rFonts w:ascii="Arial" w:eastAsia="Times New Roman" w:hAnsi="Arial" w:cs="Arial"/>
          <w:i/>
          <w:iCs/>
          <w:color w:val="000000"/>
          <w:sz w:val="20"/>
          <w:szCs w:val="20"/>
        </w:rPr>
        <w:t>Eliminating The 100 Mile Limit for Civil Trial Witnesses: A Proposal To Modernize Civil Trial Practice</w:t>
      </w:r>
      <w:r w:rsidRPr="00C74582">
        <w:rPr>
          <w:rFonts w:ascii="Arial" w:eastAsia="Times New Roman" w:hAnsi="Arial" w:cs="Arial"/>
          <w:color w:val="000000"/>
          <w:sz w:val="20"/>
          <w:szCs w:val="20"/>
        </w:rPr>
        <w:t>, 140 F.R.D. 33 (1992) also in Vol. 38 No. 2</w:t>
      </w:r>
      <w:r w:rsidR="00C74582">
        <w:rPr>
          <w:rFonts w:ascii="Arial" w:eastAsia="Times New Roman" w:hAnsi="Arial" w:cs="Arial"/>
          <w:color w:val="000000"/>
          <w:sz w:val="20"/>
          <w:szCs w:val="20"/>
        </w:rPr>
        <w:t xml:space="preserve"> Trial Lawyers Guide 83 (1994)</w:t>
      </w:r>
    </w:p>
    <w:p w:rsidR="00F34BE3" w:rsidRDefault="003E6ABA" w:rsidP="003E6ABA">
      <w:pPr>
        <w:pStyle w:val="ListParagraph"/>
        <w:numPr>
          <w:ilvl w:val="0"/>
          <w:numId w:val="4"/>
        </w:numPr>
        <w:spacing w:after="0" w:line="360" w:lineRule="auto"/>
        <w:ind w:left="432" w:hanging="432"/>
        <w:rPr>
          <w:rFonts w:ascii="Arial" w:eastAsia="Times New Roman" w:hAnsi="Arial" w:cs="Arial"/>
          <w:color w:val="000000"/>
          <w:sz w:val="20"/>
          <w:szCs w:val="20"/>
        </w:rPr>
      </w:pPr>
      <w:r>
        <w:rPr>
          <w:rFonts w:ascii="Arial" w:eastAsia="Times New Roman" w:hAnsi="Arial" w:cs="Arial"/>
          <w:color w:val="000000"/>
          <w:sz w:val="20"/>
          <w:szCs w:val="20"/>
        </w:rPr>
        <w:t>S</w:t>
      </w:r>
      <w:r w:rsidR="00B16132" w:rsidRPr="00C74582">
        <w:rPr>
          <w:rFonts w:ascii="Arial" w:eastAsia="Times New Roman" w:hAnsi="Arial" w:cs="Arial"/>
          <w:color w:val="000000"/>
          <w:sz w:val="20"/>
          <w:szCs w:val="20"/>
        </w:rPr>
        <w:t xml:space="preserve">ee also, William T. Gotfryd, Ralph Nader, Richard A. Epstein &amp; Eleanor Fox, </w:t>
      </w:r>
      <w:proofErr w:type="gramStart"/>
      <w:r w:rsidR="00B16132" w:rsidRPr="00C74582">
        <w:rPr>
          <w:rFonts w:ascii="Arial" w:eastAsia="Times New Roman" w:hAnsi="Arial" w:cs="Arial"/>
          <w:i/>
          <w:color w:val="000000"/>
          <w:sz w:val="20"/>
          <w:szCs w:val="20"/>
        </w:rPr>
        <w:t>The</w:t>
      </w:r>
      <w:proofErr w:type="gramEnd"/>
      <w:r w:rsidR="00B16132" w:rsidRPr="00C74582">
        <w:rPr>
          <w:rFonts w:ascii="Arial" w:eastAsia="Times New Roman" w:hAnsi="Arial" w:cs="Arial"/>
          <w:i/>
          <w:color w:val="000000"/>
          <w:sz w:val="20"/>
          <w:szCs w:val="20"/>
        </w:rPr>
        <w:t xml:space="preserve"> Proper Goals of Antitrust: When Public and Private Interests Collide</w:t>
      </w:r>
      <w:r w:rsidR="00B16132" w:rsidRPr="00C74582">
        <w:rPr>
          <w:rFonts w:ascii="Arial" w:eastAsia="Times New Roman" w:hAnsi="Arial" w:cs="Arial"/>
          <w:color w:val="000000"/>
          <w:sz w:val="20"/>
          <w:szCs w:val="20"/>
        </w:rPr>
        <w:t>, 9 Loy. Consumer L. Rev. 113 (1997)</w:t>
      </w:r>
    </w:p>
    <w:p w:rsidR="003E6ABA" w:rsidRPr="003E6ABA" w:rsidRDefault="003E6ABA" w:rsidP="003E6ABA">
      <w:pPr>
        <w:spacing w:after="0" w:line="360" w:lineRule="auto"/>
        <w:rPr>
          <w:rFonts w:ascii="Arial" w:eastAsia="Times New Roman" w:hAnsi="Arial" w:cs="Arial"/>
          <w:color w:val="000000"/>
          <w:sz w:val="20"/>
          <w:szCs w:val="20"/>
        </w:rPr>
      </w:pPr>
    </w:p>
    <w:p w:rsidR="0016294D" w:rsidRPr="003E6ABA" w:rsidRDefault="003E6ABA" w:rsidP="003E6ABA">
      <w:pPr>
        <w:spacing w:after="0" w:line="360" w:lineRule="auto"/>
        <w:rPr>
          <w:rStyle w:val="Strong"/>
        </w:rPr>
      </w:pPr>
      <w:r w:rsidRPr="003E6ABA">
        <w:rPr>
          <w:rStyle w:val="Strong"/>
        </w:rPr>
        <w:t>A</w:t>
      </w:r>
      <w:r w:rsidR="0016294D" w:rsidRPr="003E6ABA">
        <w:rPr>
          <w:rStyle w:val="Strong"/>
        </w:rPr>
        <w:t xml:space="preserve">dmitted </w:t>
      </w:r>
      <w:r w:rsidRPr="003E6ABA">
        <w:rPr>
          <w:rStyle w:val="Strong"/>
        </w:rPr>
        <w:t>To T</w:t>
      </w:r>
      <w:r w:rsidR="0016294D" w:rsidRPr="003E6ABA">
        <w:rPr>
          <w:rStyle w:val="Strong"/>
        </w:rPr>
        <w:t xml:space="preserve">he </w:t>
      </w:r>
      <w:r w:rsidRPr="003E6ABA">
        <w:rPr>
          <w:rStyle w:val="Strong"/>
        </w:rPr>
        <w:t>Bar</w:t>
      </w:r>
    </w:p>
    <w:p w:rsidR="0016294D" w:rsidRPr="00C74582" w:rsidRDefault="0016294D" w:rsidP="003E6ABA">
      <w:pPr>
        <w:numPr>
          <w:ilvl w:val="0"/>
          <w:numId w:val="1"/>
        </w:numPr>
        <w:spacing w:after="0" w:line="360" w:lineRule="auto"/>
        <w:ind w:left="0" w:firstLine="0"/>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Illinois </w:t>
      </w:r>
    </w:p>
    <w:p w:rsidR="0016294D" w:rsidRPr="00C74582" w:rsidRDefault="0016294D" w:rsidP="003E6ABA">
      <w:pPr>
        <w:numPr>
          <w:ilvl w:val="0"/>
          <w:numId w:val="1"/>
        </w:numPr>
        <w:spacing w:after="0" w:line="360" w:lineRule="auto"/>
        <w:ind w:left="0" w:firstLine="0"/>
        <w:rPr>
          <w:rFonts w:ascii="Arial" w:eastAsia="Times New Roman" w:hAnsi="Arial" w:cs="Arial"/>
          <w:color w:val="000000"/>
          <w:sz w:val="20"/>
          <w:szCs w:val="20"/>
        </w:rPr>
      </w:pPr>
      <w:r w:rsidRPr="00C74582">
        <w:rPr>
          <w:rFonts w:ascii="Arial" w:eastAsia="Times New Roman" w:hAnsi="Arial" w:cs="Arial"/>
          <w:color w:val="000000"/>
          <w:sz w:val="20"/>
          <w:szCs w:val="20"/>
        </w:rPr>
        <w:t>United States Supreme Court</w:t>
      </w:r>
    </w:p>
    <w:p w:rsidR="0016294D" w:rsidRPr="00C74582" w:rsidRDefault="0016294D" w:rsidP="003E6ABA">
      <w:pPr>
        <w:numPr>
          <w:ilvl w:val="0"/>
          <w:numId w:val="1"/>
        </w:numPr>
        <w:spacing w:after="0" w:line="360" w:lineRule="auto"/>
        <w:ind w:left="0" w:firstLine="0"/>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Second Circuit </w:t>
      </w:r>
    </w:p>
    <w:p w:rsidR="0016294D" w:rsidRPr="00C74582" w:rsidRDefault="0016294D" w:rsidP="003E6ABA">
      <w:pPr>
        <w:numPr>
          <w:ilvl w:val="0"/>
          <w:numId w:val="1"/>
        </w:numPr>
        <w:spacing w:after="0" w:line="360" w:lineRule="auto"/>
        <w:ind w:left="0" w:firstLine="0"/>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Third Circuit </w:t>
      </w:r>
    </w:p>
    <w:p w:rsidR="0016294D" w:rsidRPr="00C74582" w:rsidRDefault="0016294D" w:rsidP="003E6ABA">
      <w:pPr>
        <w:numPr>
          <w:ilvl w:val="0"/>
          <w:numId w:val="1"/>
        </w:numPr>
        <w:spacing w:after="0" w:line="360" w:lineRule="auto"/>
        <w:ind w:left="0" w:firstLine="0"/>
        <w:rPr>
          <w:rFonts w:ascii="Arial" w:eastAsia="Times New Roman" w:hAnsi="Arial" w:cs="Arial"/>
          <w:color w:val="000000"/>
          <w:sz w:val="20"/>
          <w:szCs w:val="20"/>
        </w:rPr>
      </w:pPr>
      <w:r w:rsidRPr="00C74582">
        <w:rPr>
          <w:rFonts w:ascii="Arial" w:eastAsia="Times New Roman" w:hAnsi="Arial" w:cs="Arial"/>
          <w:color w:val="000000"/>
          <w:sz w:val="20"/>
          <w:szCs w:val="20"/>
        </w:rPr>
        <w:t>Fifth Circuit</w:t>
      </w:r>
    </w:p>
    <w:p w:rsidR="0016294D" w:rsidRPr="00C74582" w:rsidRDefault="0016294D" w:rsidP="003E6ABA">
      <w:pPr>
        <w:numPr>
          <w:ilvl w:val="0"/>
          <w:numId w:val="1"/>
        </w:numPr>
        <w:spacing w:after="0" w:line="360" w:lineRule="auto"/>
        <w:ind w:left="0" w:firstLine="0"/>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Seventh Circuit </w:t>
      </w:r>
    </w:p>
    <w:p w:rsidR="0016294D" w:rsidRPr="00C74582" w:rsidRDefault="0016294D" w:rsidP="003E6ABA">
      <w:pPr>
        <w:numPr>
          <w:ilvl w:val="0"/>
          <w:numId w:val="1"/>
        </w:numPr>
        <w:spacing w:after="0" w:line="360" w:lineRule="auto"/>
        <w:ind w:left="0" w:firstLine="0"/>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Tenth Circuit </w:t>
      </w:r>
    </w:p>
    <w:p w:rsidR="0016294D" w:rsidRPr="00C74582" w:rsidRDefault="0016294D" w:rsidP="003E6ABA">
      <w:pPr>
        <w:numPr>
          <w:ilvl w:val="0"/>
          <w:numId w:val="1"/>
        </w:numPr>
        <w:spacing w:after="0" w:line="360" w:lineRule="auto"/>
        <w:ind w:left="0" w:firstLine="0"/>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Eleventh Circuit </w:t>
      </w:r>
    </w:p>
    <w:p w:rsidR="0016294D" w:rsidRPr="00C74582" w:rsidRDefault="0016294D" w:rsidP="003E6ABA">
      <w:pPr>
        <w:numPr>
          <w:ilvl w:val="0"/>
          <w:numId w:val="1"/>
        </w:numPr>
        <w:spacing w:after="0" w:line="360" w:lineRule="auto"/>
        <w:ind w:left="0" w:firstLine="0"/>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United States District Court for the Northern District of Illinois </w:t>
      </w:r>
      <w:r w:rsidR="00AD5BF8" w:rsidRPr="00C74582">
        <w:rPr>
          <w:rFonts w:ascii="Arial" w:eastAsia="Times New Roman" w:hAnsi="Arial" w:cs="Arial"/>
          <w:color w:val="000000"/>
          <w:sz w:val="20"/>
          <w:szCs w:val="20"/>
        </w:rPr>
        <w:t>(</w:t>
      </w:r>
      <w:r w:rsidR="00CF0D4D">
        <w:rPr>
          <w:rFonts w:ascii="Arial" w:eastAsia="Times New Roman" w:hAnsi="Arial" w:cs="Arial"/>
          <w:color w:val="000000"/>
          <w:sz w:val="20"/>
          <w:szCs w:val="20"/>
        </w:rPr>
        <w:t>and T</w:t>
      </w:r>
      <w:r w:rsidR="00AD5BF8" w:rsidRPr="00C74582">
        <w:rPr>
          <w:rFonts w:ascii="Arial" w:eastAsia="Times New Roman" w:hAnsi="Arial" w:cs="Arial"/>
          <w:color w:val="000000"/>
          <w:sz w:val="20"/>
          <w:szCs w:val="20"/>
        </w:rPr>
        <w:t xml:space="preserve">rial </w:t>
      </w:r>
      <w:r w:rsidR="00CF0D4D">
        <w:rPr>
          <w:rFonts w:ascii="Arial" w:eastAsia="Times New Roman" w:hAnsi="Arial" w:cs="Arial"/>
          <w:color w:val="000000"/>
          <w:sz w:val="20"/>
          <w:szCs w:val="20"/>
        </w:rPr>
        <w:t>B</w:t>
      </w:r>
      <w:r w:rsidR="00AD5BF8" w:rsidRPr="00C74582">
        <w:rPr>
          <w:rFonts w:ascii="Arial" w:eastAsia="Times New Roman" w:hAnsi="Arial" w:cs="Arial"/>
          <w:color w:val="000000"/>
          <w:sz w:val="20"/>
          <w:szCs w:val="20"/>
        </w:rPr>
        <w:t>ar)</w:t>
      </w:r>
    </w:p>
    <w:p w:rsidR="0016294D" w:rsidRPr="00C74582" w:rsidRDefault="0016294D" w:rsidP="003E6ABA">
      <w:pPr>
        <w:numPr>
          <w:ilvl w:val="0"/>
          <w:numId w:val="1"/>
        </w:numPr>
        <w:spacing w:after="0" w:line="360" w:lineRule="auto"/>
        <w:ind w:left="0" w:firstLine="0"/>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United States District Court </w:t>
      </w:r>
      <w:r w:rsidR="00594EA7" w:rsidRPr="00C74582">
        <w:rPr>
          <w:rFonts w:ascii="Arial" w:eastAsia="Times New Roman" w:hAnsi="Arial" w:cs="Arial"/>
          <w:color w:val="000000"/>
          <w:sz w:val="20"/>
          <w:szCs w:val="20"/>
        </w:rPr>
        <w:t xml:space="preserve">for the </w:t>
      </w:r>
      <w:r w:rsidRPr="00C74582">
        <w:rPr>
          <w:rFonts w:ascii="Arial" w:eastAsia="Times New Roman" w:hAnsi="Arial" w:cs="Arial"/>
          <w:color w:val="000000"/>
          <w:sz w:val="20"/>
          <w:szCs w:val="20"/>
        </w:rPr>
        <w:t xml:space="preserve">Eastern District of Wisconsin </w:t>
      </w:r>
    </w:p>
    <w:p w:rsidR="0016294D" w:rsidRPr="00C74582" w:rsidRDefault="0016294D" w:rsidP="003E6ABA">
      <w:pPr>
        <w:numPr>
          <w:ilvl w:val="0"/>
          <w:numId w:val="1"/>
        </w:numPr>
        <w:spacing w:after="0" w:line="360" w:lineRule="auto"/>
        <w:ind w:left="0" w:firstLine="0"/>
        <w:rPr>
          <w:rFonts w:ascii="Arial" w:eastAsia="Times New Roman" w:hAnsi="Arial" w:cs="Arial"/>
          <w:color w:val="000000"/>
          <w:sz w:val="20"/>
          <w:szCs w:val="20"/>
        </w:rPr>
      </w:pPr>
      <w:r w:rsidRPr="00C74582">
        <w:rPr>
          <w:rFonts w:ascii="Arial" w:eastAsia="Times New Roman" w:hAnsi="Arial" w:cs="Arial"/>
          <w:color w:val="000000"/>
          <w:sz w:val="20"/>
          <w:szCs w:val="20"/>
        </w:rPr>
        <w:t xml:space="preserve">United States District Court </w:t>
      </w:r>
      <w:r w:rsidR="00594EA7" w:rsidRPr="00C74582">
        <w:rPr>
          <w:rFonts w:ascii="Arial" w:eastAsia="Times New Roman" w:hAnsi="Arial" w:cs="Arial"/>
          <w:color w:val="000000"/>
          <w:sz w:val="20"/>
          <w:szCs w:val="20"/>
        </w:rPr>
        <w:t xml:space="preserve">for the </w:t>
      </w:r>
      <w:r w:rsidRPr="00C74582">
        <w:rPr>
          <w:rFonts w:ascii="Arial" w:eastAsia="Times New Roman" w:hAnsi="Arial" w:cs="Arial"/>
          <w:color w:val="000000"/>
          <w:sz w:val="20"/>
          <w:szCs w:val="20"/>
        </w:rPr>
        <w:t>Northern District of Oklahoma</w:t>
      </w:r>
    </w:p>
    <w:sectPr w:rsidR="0016294D" w:rsidRPr="00C74582" w:rsidSect="001B1F3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1DB1"/>
    <w:multiLevelType w:val="hybridMultilevel"/>
    <w:tmpl w:val="96F2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14BF5"/>
    <w:multiLevelType w:val="hybridMultilevel"/>
    <w:tmpl w:val="5576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B62C0"/>
    <w:multiLevelType w:val="multilevel"/>
    <w:tmpl w:val="671A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701B9"/>
    <w:multiLevelType w:val="hybridMultilevel"/>
    <w:tmpl w:val="733A0BB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7B5549F7"/>
    <w:multiLevelType w:val="hybridMultilevel"/>
    <w:tmpl w:val="AE90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E3"/>
    <w:rsid w:val="00002B18"/>
    <w:rsid w:val="00056778"/>
    <w:rsid w:val="0016294D"/>
    <w:rsid w:val="001B1F37"/>
    <w:rsid w:val="002C5D49"/>
    <w:rsid w:val="003C05D6"/>
    <w:rsid w:val="003E6ABA"/>
    <w:rsid w:val="003F1A9A"/>
    <w:rsid w:val="00594EA7"/>
    <w:rsid w:val="00697769"/>
    <w:rsid w:val="006B48CB"/>
    <w:rsid w:val="00737827"/>
    <w:rsid w:val="0077433E"/>
    <w:rsid w:val="007C3FB1"/>
    <w:rsid w:val="007C70BC"/>
    <w:rsid w:val="00876FB6"/>
    <w:rsid w:val="00913733"/>
    <w:rsid w:val="00920783"/>
    <w:rsid w:val="00976EF8"/>
    <w:rsid w:val="00A03E7F"/>
    <w:rsid w:val="00A92CF2"/>
    <w:rsid w:val="00AD5BF8"/>
    <w:rsid w:val="00B16132"/>
    <w:rsid w:val="00BE5A9F"/>
    <w:rsid w:val="00C53468"/>
    <w:rsid w:val="00C74582"/>
    <w:rsid w:val="00CF0D4D"/>
    <w:rsid w:val="00D1106E"/>
    <w:rsid w:val="00E00E9D"/>
    <w:rsid w:val="00F34BE3"/>
    <w:rsid w:val="00FB0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E4626-B76F-41AF-A654-A3B21BC8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34BE3"/>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AD5BF8"/>
    <w:pPr>
      <w:ind w:left="720"/>
      <w:contextualSpacing/>
    </w:pPr>
  </w:style>
  <w:style w:type="character" w:styleId="Strong">
    <w:name w:val="Strong"/>
    <w:basedOn w:val="DefaultParagraphFont"/>
    <w:uiPriority w:val="22"/>
    <w:qFormat/>
    <w:rsid w:val="00C74582"/>
    <w:rPr>
      <w:b/>
      <w:bCs/>
    </w:rPr>
  </w:style>
  <w:style w:type="character" w:styleId="Hyperlink">
    <w:name w:val="Hyperlink"/>
    <w:basedOn w:val="DefaultParagraphFont"/>
    <w:uiPriority w:val="99"/>
    <w:unhideWhenUsed/>
    <w:rsid w:val="00C74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u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Microsoft account</cp:lastModifiedBy>
  <cp:revision>2</cp:revision>
  <dcterms:created xsi:type="dcterms:W3CDTF">2021-05-28T21:14:00Z</dcterms:created>
  <dcterms:modified xsi:type="dcterms:W3CDTF">2021-05-28T21:14:00Z</dcterms:modified>
</cp:coreProperties>
</file>